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510" w:tblpY="52"/>
        <w:tblOverlap w:val="never"/>
        <w:tblW w:w="0" w:type="auto"/>
        <w:tblLayout w:type="fixed"/>
        <w:tblLook w:val="04A0"/>
      </w:tblPr>
      <w:tblGrid>
        <w:gridCol w:w="5804"/>
      </w:tblGrid>
      <w:tr w:rsidR="001D37C9" w:rsidTr="00BE7B11">
        <w:trPr>
          <w:trHeight w:val="1340"/>
        </w:trPr>
        <w:tc>
          <w:tcPr>
            <w:tcW w:w="5804" w:type="dxa"/>
            <w:vAlign w:val="center"/>
            <w:hideMark/>
          </w:tcPr>
          <w:p w:rsidR="001D37C9" w:rsidRDefault="001D37C9" w:rsidP="00BE7B1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43816" cy="673099"/>
                  <wp:effectExtent l="19050" t="0" r="3884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80" cy="67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7C9" w:rsidRDefault="001D37C9" w:rsidP="001D37C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ПРОЕКТ                     </w:t>
      </w:r>
    </w:p>
    <w:p w:rsidR="001D37C9" w:rsidRDefault="001D37C9" w:rsidP="001D37C9">
      <w:pPr>
        <w:jc w:val="center"/>
        <w:rPr>
          <w:sz w:val="24"/>
          <w:szCs w:val="24"/>
        </w:rPr>
      </w:pPr>
    </w:p>
    <w:p w:rsidR="001D37C9" w:rsidRDefault="001D37C9" w:rsidP="001D37C9">
      <w:pPr>
        <w:jc w:val="center"/>
      </w:pPr>
      <w:r>
        <w:t xml:space="preserve">                       </w:t>
      </w:r>
    </w:p>
    <w:p w:rsidR="001D37C9" w:rsidRDefault="001D37C9" w:rsidP="001D37C9">
      <w:pPr>
        <w:pStyle w:val="1"/>
        <w:jc w:val="center"/>
        <w:rPr>
          <w:rFonts w:ascii="Arial" w:hAnsi="Arial"/>
          <w:b/>
          <w:sz w:val="26"/>
        </w:rPr>
      </w:pPr>
    </w:p>
    <w:p w:rsidR="001D37C9" w:rsidRPr="00BE7B11" w:rsidRDefault="001D37C9" w:rsidP="001D37C9">
      <w:pPr>
        <w:rPr>
          <w:rFonts w:ascii="Times New Roman" w:hAnsi="Times New Roman" w:cs="Times New Roman"/>
        </w:rPr>
      </w:pPr>
    </w:p>
    <w:p w:rsidR="001D37C9" w:rsidRPr="00BE7B11" w:rsidRDefault="001D37C9" w:rsidP="001D37C9">
      <w:pPr>
        <w:pStyle w:val="1"/>
        <w:jc w:val="center"/>
        <w:rPr>
          <w:b/>
          <w:sz w:val="24"/>
        </w:rPr>
      </w:pPr>
      <w:r w:rsidRPr="00BE7B11">
        <w:rPr>
          <w:b/>
          <w:sz w:val="24"/>
        </w:rPr>
        <w:t>РЕШЕНИЕ СОБРАНИЯ ДЕПУТАТОВ</w:t>
      </w:r>
    </w:p>
    <w:p w:rsidR="001D37C9" w:rsidRPr="00BE7B11" w:rsidRDefault="001D37C9" w:rsidP="001D37C9">
      <w:pPr>
        <w:pStyle w:val="2"/>
        <w:rPr>
          <w:b/>
          <w:sz w:val="24"/>
        </w:rPr>
      </w:pPr>
      <w:r w:rsidRPr="00BE7B11">
        <w:rPr>
          <w:b/>
          <w:sz w:val="24"/>
        </w:rPr>
        <w:t>КОРОБКИНСКОГО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1D37C9" w:rsidRPr="00BE7B11" w:rsidTr="001D37C9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D37C9" w:rsidRPr="00BE7B11" w:rsidRDefault="001D3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7C9" w:rsidRPr="00BE7B11" w:rsidRDefault="001D37C9" w:rsidP="001D37C9">
      <w:pPr>
        <w:jc w:val="both"/>
        <w:rPr>
          <w:rFonts w:ascii="Times New Roman" w:hAnsi="Times New Roman" w:cs="Times New Roman"/>
        </w:rPr>
      </w:pPr>
      <w:r w:rsidRPr="00BE7B11">
        <w:rPr>
          <w:rFonts w:ascii="Times New Roman" w:hAnsi="Times New Roman" w:cs="Times New Roman"/>
          <w:sz w:val="20"/>
        </w:rPr>
        <w:t xml:space="preserve">                                      </w:t>
      </w:r>
      <w:r w:rsidRPr="00BE7B11">
        <w:rPr>
          <w:rFonts w:ascii="Times New Roman" w:hAnsi="Times New Roman" w:cs="Times New Roman"/>
          <w:sz w:val="20"/>
        </w:rPr>
        <w:tab/>
      </w:r>
      <w:r w:rsidRPr="00BE7B11">
        <w:rPr>
          <w:rFonts w:ascii="Times New Roman" w:hAnsi="Times New Roman" w:cs="Times New Roman"/>
          <w:sz w:val="20"/>
        </w:rPr>
        <w:tab/>
      </w:r>
      <w:r w:rsidRPr="00BE7B11">
        <w:rPr>
          <w:rFonts w:ascii="Times New Roman" w:hAnsi="Times New Roman" w:cs="Times New Roman"/>
          <w:sz w:val="20"/>
        </w:rPr>
        <w:tab/>
      </w:r>
      <w:r w:rsidRPr="00BE7B11">
        <w:rPr>
          <w:rFonts w:ascii="Times New Roman" w:hAnsi="Times New Roman" w:cs="Times New Roman"/>
          <w:sz w:val="20"/>
        </w:rPr>
        <w:tab/>
      </w:r>
      <w:r w:rsidRPr="00BE7B11">
        <w:rPr>
          <w:rFonts w:ascii="Times New Roman" w:hAnsi="Times New Roman" w:cs="Times New Roman"/>
          <w:sz w:val="20"/>
        </w:rPr>
        <w:tab/>
      </w:r>
    </w:p>
    <w:p w:rsidR="001D37C9" w:rsidRPr="00BE7B11" w:rsidRDefault="001D37C9" w:rsidP="001D37C9">
      <w:pPr>
        <w:rPr>
          <w:rFonts w:ascii="Times New Roman" w:hAnsi="Times New Roman" w:cs="Times New Roman"/>
          <w:b/>
          <w:szCs w:val="24"/>
        </w:rPr>
      </w:pPr>
      <w:r w:rsidRPr="00BE7B11">
        <w:rPr>
          <w:rFonts w:ascii="Times New Roman" w:hAnsi="Times New Roman" w:cs="Times New Roman"/>
          <w:b/>
          <w:szCs w:val="24"/>
        </w:rPr>
        <w:t xml:space="preserve">   от   «  15»</w:t>
      </w:r>
      <w:r w:rsidR="00BE7B11" w:rsidRPr="00BE7B11">
        <w:rPr>
          <w:rFonts w:ascii="Times New Roman" w:hAnsi="Times New Roman" w:cs="Times New Roman"/>
          <w:b/>
          <w:szCs w:val="24"/>
        </w:rPr>
        <w:t xml:space="preserve"> </w:t>
      </w:r>
      <w:r w:rsidR="00C90E90">
        <w:rPr>
          <w:rFonts w:ascii="Times New Roman" w:hAnsi="Times New Roman" w:cs="Times New Roman"/>
          <w:b/>
          <w:szCs w:val="24"/>
        </w:rPr>
        <w:t>ноября 2021</w:t>
      </w:r>
      <w:r w:rsidRPr="00BE7B11">
        <w:rPr>
          <w:rFonts w:ascii="Times New Roman" w:hAnsi="Times New Roman" w:cs="Times New Roman"/>
          <w:b/>
          <w:szCs w:val="24"/>
        </w:rPr>
        <w:t xml:space="preserve">г       </w:t>
      </w:r>
      <w:r w:rsidRPr="00BE7B11">
        <w:rPr>
          <w:rFonts w:ascii="Times New Roman" w:hAnsi="Times New Roman" w:cs="Times New Roman"/>
          <w:b/>
          <w:szCs w:val="24"/>
        </w:rPr>
        <w:tab/>
        <w:t xml:space="preserve"> </w:t>
      </w:r>
      <w:r w:rsidR="00C90E90">
        <w:rPr>
          <w:rFonts w:ascii="Times New Roman" w:hAnsi="Times New Roman" w:cs="Times New Roman"/>
          <w:b/>
          <w:szCs w:val="24"/>
        </w:rPr>
        <w:t>№18</w:t>
      </w:r>
      <w:r w:rsidRPr="00BE7B11">
        <w:rPr>
          <w:rFonts w:ascii="Times New Roman" w:hAnsi="Times New Roman" w:cs="Times New Roman"/>
          <w:b/>
          <w:szCs w:val="24"/>
        </w:rPr>
        <w:tab/>
        <w:t xml:space="preserve">                                   </w:t>
      </w:r>
      <w:proofErr w:type="spellStart"/>
      <w:r w:rsidRPr="00BE7B11">
        <w:rPr>
          <w:rFonts w:ascii="Times New Roman" w:hAnsi="Times New Roman" w:cs="Times New Roman"/>
          <w:b/>
          <w:szCs w:val="24"/>
        </w:rPr>
        <w:t>п</w:t>
      </w:r>
      <w:proofErr w:type="gramStart"/>
      <w:r w:rsidRPr="00BE7B11">
        <w:rPr>
          <w:rFonts w:ascii="Times New Roman" w:hAnsi="Times New Roman" w:cs="Times New Roman"/>
          <w:b/>
          <w:szCs w:val="24"/>
        </w:rPr>
        <w:t>.К</w:t>
      </w:r>
      <w:proofErr w:type="gramEnd"/>
      <w:r w:rsidRPr="00BE7B11">
        <w:rPr>
          <w:rFonts w:ascii="Times New Roman" w:hAnsi="Times New Roman" w:cs="Times New Roman"/>
          <w:b/>
          <w:szCs w:val="24"/>
        </w:rPr>
        <w:t>оробкин</w:t>
      </w:r>
      <w:proofErr w:type="spellEnd"/>
      <w:r w:rsidRPr="00BE7B11">
        <w:rPr>
          <w:rFonts w:ascii="Times New Roman" w:hAnsi="Times New Roman" w:cs="Times New Roman"/>
          <w:b/>
          <w:szCs w:val="24"/>
        </w:rPr>
        <w:t xml:space="preserve">                             </w:t>
      </w:r>
    </w:p>
    <w:p w:rsidR="001D37C9" w:rsidRPr="00BE7B11" w:rsidRDefault="001D37C9" w:rsidP="001D37C9">
      <w:pPr>
        <w:rPr>
          <w:rFonts w:ascii="Times New Roman" w:hAnsi="Times New Roman" w:cs="Times New Roman"/>
          <w:b/>
          <w:szCs w:val="24"/>
        </w:rPr>
      </w:pPr>
    </w:p>
    <w:p w:rsidR="001D37C9" w:rsidRPr="00BE7B11" w:rsidRDefault="001D37C9" w:rsidP="001D37C9">
      <w:pPr>
        <w:pStyle w:val="23"/>
        <w:ind w:left="6120" w:hanging="308"/>
        <w:jc w:val="left"/>
        <w:rPr>
          <w:sz w:val="24"/>
          <w:szCs w:val="24"/>
        </w:rPr>
      </w:pPr>
      <w:r w:rsidRPr="00BE7B11">
        <w:rPr>
          <w:sz w:val="24"/>
          <w:szCs w:val="24"/>
        </w:rPr>
        <w:t xml:space="preserve"> «О бюджете </w:t>
      </w:r>
      <w:proofErr w:type="spellStart"/>
      <w:r w:rsidRPr="00BE7B11">
        <w:rPr>
          <w:sz w:val="24"/>
          <w:szCs w:val="24"/>
        </w:rPr>
        <w:t>Коробкинского</w:t>
      </w:r>
      <w:proofErr w:type="spellEnd"/>
    </w:p>
    <w:p w:rsidR="001D37C9" w:rsidRPr="00BE7B11" w:rsidRDefault="001D37C9" w:rsidP="001D37C9">
      <w:pPr>
        <w:pStyle w:val="23"/>
        <w:ind w:left="6120" w:hanging="308"/>
        <w:jc w:val="left"/>
        <w:rPr>
          <w:sz w:val="24"/>
          <w:szCs w:val="24"/>
        </w:rPr>
      </w:pPr>
      <w:r w:rsidRPr="00BE7B11">
        <w:rPr>
          <w:sz w:val="24"/>
          <w:szCs w:val="24"/>
        </w:rPr>
        <w:t xml:space="preserve">   СМО РК на 2022 год »</w:t>
      </w:r>
    </w:p>
    <w:p w:rsidR="001D37C9" w:rsidRPr="00BE7B11" w:rsidRDefault="001D37C9" w:rsidP="00BE7B11">
      <w:pPr>
        <w:pStyle w:val="23"/>
        <w:ind w:left="0"/>
        <w:jc w:val="left"/>
        <w:rPr>
          <w:sz w:val="26"/>
        </w:rPr>
      </w:pPr>
    </w:p>
    <w:p w:rsidR="001D37C9" w:rsidRPr="00BE7B11" w:rsidRDefault="001D37C9" w:rsidP="001D37C9">
      <w:pPr>
        <w:pStyle w:val="23"/>
        <w:ind w:left="7020"/>
        <w:jc w:val="left"/>
        <w:rPr>
          <w:sz w:val="26"/>
        </w:rPr>
      </w:pPr>
    </w:p>
    <w:p w:rsidR="001D37C9" w:rsidRPr="00BE7B11" w:rsidRDefault="001D37C9" w:rsidP="001D37C9">
      <w:pPr>
        <w:pStyle w:val="33"/>
        <w:tabs>
          <w:tab w:val="left" w:pos="2694"/>
        </w:tabs>
        <w:ind w:firstLine="709"/>
        <w:rPr>
          <w:sz w:val="24"/>
        </w:rPr>
      </w:pPr>
      <w:r w:rsidRPr="00BE7B11">
        <w:rPr>
          <w:sz w:val="24"/>
        </w:rPr>
        <w:t xml:space="preserve">В соответствии с Бюджетным Кодексом РФ, Федеральным Законом РФ № 131-ФЗ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 </w:t>
      </w:r>
      <w:proofErr w:type="spellStart"/>
      <w:r w:rsidRPr="00BE7B11">
        <w:rPr>
          <w:sz w:val="24"/>
        </w:rPr>
        <w:t>Коробкинского</w:t>
      </w:r>
      <w:proofErr w:type="spellEnd"/>
      <w:r w:rsidRPr="00BE7B11">
        <w:rPr>
          <w:sz w:val="24"/>
        </w:rPr>
        <w:t xml:space="preserve"> СМО РК, Собрание депутатов </w:t>
      </w:r>
      <w:proofErr w:type="spellStart"/>
      <w:r w:rsidRPr="00BE7B11">
        <w:rPr>
          <w:sz w:val="24"/>
        </w:rPr>
        <w:t>Коробкинского</w:t>
      </w:r>
      <w:proofErr w:type="spellEnd"/>
      <w:r w:rsidRPr="00BE7B11">
        <w:rPr>
          <w:sz w:val="24"/>
        </w:rPr>
        <w:t xml:space="preserve"> СМО РК </w:t>
      </w:r>
    </w:p>
    <w:p w:rsidR="001D37C9" w:rsidRPr="00BE7B11" w:rsidRDefault="001D37C9" w:rsidP="00BE7B11">
      <w:pPr>
        <w:pStyle w:val="33"/>
        <w:tabs>
          <w:tab w:val="left" w:pos="2694"/>
        </w:tabs>
        <w:ind w:firstLine="0"/>
        <w:rPr>
          <w:sz w:val="24"/>
        </w:rPr>
      </w:pPr>
    </w:p>
    <w:p w:rsidR="001D37C9" w:rsidRPr="00BE7B11" w:rsidRDefault="001D37C9" w:rsidP="00BE7B11">
      <w:pPr>
        <w:pStyle w:val="33"/>
        <w:tabs>
          <w:tab w:val="left" w:pos="2694"/>
        </w:tabs>
        <w:rPr>
          <w:b/>
        </w:rPr>
      </w:pPr>
      <w:proofErr w:type="spellStart"/>
      <w:proofErr w:type="gramStart"/>
      <w:r w:rsidRPr="00BE7B11">
        <w:rPr>
          <w:b/>
        </w:rPr>
        <w:t>р</w:t>
      </w:r>
      <w:proofErr w:type="spellEnd"/>
      <w:proofErr w:type="gramEnd"/>
      <w:r w:rsidRPr="00BE7B11">
        <w:rPr>
          <w:b/>
        </w:rPr>
        <w:t xml:space="preserve"> е </w:t>
      </w:r>
      <w:proofErr w:type="spellStart"/>
      <w:r w:rsidRPr="00BE7B11">
        <w:rPr>
          <w:b/>
        </w:rPr>
        <w:t>ш</w:t>
      </w:r>
      <w:proofErr w:type="spellEnd"/>
      <w:r w:rsidRPr="00BE7B11">
        <w:rPr>
          <w:b/>
        </w:rPr>
        <w:t xml:space="preserve"> и л о:</w:t>
      </w:r>
    </w:p>
    <w:p w:rsidR="001D37C9" w:rsidRPr="00BE7B11" w:rsidRDefault="001D37C9" w:rsidP="001D37C9">
      <w:pPr>
        <w:pStyle w:val="33"/>
        <w:tabs>
          <w:tab w:val="left" w:pos="2694"/>
        </w:tabs>
        <w:ind w:firstLine="709"/>
        <w:jc w:val="center"/>
      </w:pPr>
    </w:p>
    <w:p w:rsidR="001D37C9" w:rsidRPr="00BE7B11" w:rsidRDefault="001D37C9" w:rsidP="001D37C9">
      <w:pPr>
        <w:pStyle w:val="33"/>
        <w:tabs>
          <w:tab w:val="left" w:pos="2694"/>
        </w:tabs>
        <w:ind w:firstLine="709"/>
        <w:jc w:val="center"/>
      </w:pP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BE7B11">
        <w:rPr>
          <w:rFonts w:ascii="Times New Roman" w:hAnsi="Times New Roman" w:cs="Times New Roman"/>
          <w:sz w:val="24"/>
          <w:szCs w:val="24"/>
        </w:rPr>
        <w:t xml:space="preserve">. Утвердить  основные характеристики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2022 год: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СМО РК  в сумме </w:t>
      </w:r>
      <w:r w:rsidRPr="00BE7B11">
        <w:rPr>
          <w:rFonts w:ascii="Times New Roman" w:hAnsi="Times New Roman" w:cs="Times New Roman"/>
          <w:bCs/>
          <w:sz w:val="24"/>
          <w:szCs w:val="24"/>
        </w:rPr>
        <w:t>1140,3</w:t>
      </w:r>
      <w:r w:rsidRPr="00BE7B1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>ублей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2) прогнозируемый общий объем расходов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СМО РК  в сумме 1140,3 тыс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>ублей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3) дефицит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СМО РК  в сумме 0 т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>ублей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  <w:r w:rsidRPr="00BE7B1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 органа местного самоуправления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1 (предоставляется ко второму чтению)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 w:rsidRPr="00BE7B11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 органов государственной власти Российской Федерации и Республики Калмыкия, в соответствии с законодательством Российской Федерации и Республики Калмыкия согласно приложению 2 (предоставляется ко второму чтению)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lastRenderedPageBreak/>
        <w:t>Статья 4.</w:t>
      </w:r>
      <w:r w:rsidRPr="00BE7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 xml:space="preserve">Установить, что в целях своевременного зачисления платежей на лицевые счета администраторов доходов 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по доходам, коды видов которых не закреплены в перечнях главных администраторов 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приложениями 1 и 2 к настоящему решению (определяется ко второму чтению), Администрация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вправе закреплять коды доходов за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соответствующими главными администраторами доходов 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с последующим внесением изменений в настоящее решение.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</w:t>
      </w:r>
      <w:r w:rsidRPr="00BE7B11"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BE7B11">
        <w:rPr>
          <w:rFonts w:ascii="Times New Roman" w:hAnsi="Times New Roman" w:cs="Times New Roman"/>
          <w:sz w:val="24"/>
          <w:szCs w:val="24"/>
        </w:rPr>
        <w:t xml:space="preserve">. 1. Установить, что доходы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поступающие в 2022 году, формируются за счет: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>1) федеральных и региональных налогов, сборов и неналоговых доходов  в соответствии с нормативами, установленными законодательством Российской Федерации и Республики Калмыкия;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3) безвозмездных поступлений, перечисляемых в бюджет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 соответствии с законодательством Российской Федерации, Республики Калмыкия.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2. Установить нормативы распределения доходов 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не установленные законодательством Российской Федерации, Республики Калмыкия на 2022 год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3 к настоящему решению. 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>Статья 6</w:t>
      </w:r>
      <w:r w:rsidRPr="00BE7B11">
        <w:rPr>
          <w:rFonts w:ascii="Times New Roman" w:hAnsi="Times New Roman" w:cs="Times New Roman"/>
          <w:sz w:val="24"/>
          <w:szCs w:val="24"/>
        </w:rPr>
        <w:t xml:space="preserve">. Установить, что в 2022 году доходы от оказания платных услуг, безвозмездных поступлений и иной приносящей доход деятельности казенных учреждений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являющихся получателями бюджетных средств, при составлении, утверждении, исполнении бюджета и составлении отчетности о его исполнении включаются в состав  доходов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  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BE7B11">
        <w:rPr>
          <w:rFonts w:ascii="Times New Roman" w:hAnsi="Times New Roman" w:cs="Times New Roman"/>
          <w:sz w:val="24"/>
          <w:szCs w:val="24"/>
        </w:rPr>
        <w:t xml:space="preserve"> Утвердить объем поступлений доходов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2022 год  по кодам бюджетной классификации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согласно   приложения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 4 к настоящему решению.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BE7B11">
        <w:rPr>
          <w:rFonts w:ascii="Times New Roman" w:hAnsi="Times New Roman" w:cs="Times New Roman"/>
          <w:sz w:val="24"/>
          <w:szCs w:val="24"/>
        </w:rPr>
        <w:t xml:space="preserve">. Утвердить распределение бюджетных ассигнований из бюджета 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по разделам, подразделам, целевым статьям, группам и подгруппам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r w:rsidRPr="00BE7B11">
        <w:rPr>
          <w:rFonts w:ascii="Times New Roman" w:hAnsi="Times New Roman" w:cs="Times New Roman"/>
          <w:sz w:val="24"/>
          <w:szCs w:val="24"/>
        </w:rPr>
        <w:lastRenderedPageBreak/>
        <w:t>классификации расходов бюджетов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на 2022 год  согласно приложения 5  к настоящему решению.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          Статья 9.</w:t>
      </w:r>
      <w:r w:rsidRPr="00BE7B11">
        <w:rPr>
          <w:rFonts w:ascii="Times New Roman" w:hAnsi="Times New Roman" w:cs="Times New Roman"/>
          <w:sz w:val="24"/>
          <w:szCs w:val="24"/>
        </w:rPr>
        <w:t xml:space="preserve"> Утвердить ведомственную структуру расходов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 сельского муниципального образования Республики Калмыкия на 2022 год  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согласно   приложения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  6 к настоящему решению.</w:t>
      </w:r>
      <w:r w:rsidRPr="00BE7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           Статья 10.</w:t>
      </w:r>
      <w:r w:rsidRPr="00BE7B11">
        <w:rPr>
          <w:rFonts w:ascii="Times New Roman" w:hAnsi="Times New Roman" w:cs="Times New Roman"/>
          <w:sz w:val="24"/>
          <w:szCs w:val="24"/>
        </w:rPr>
        <w:t xml:space="preserve"> Утвердить  перечень и коды главных распорядителей средств 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2022 год согласно приложению 7 (предоставляется ко второму чтению).</w:t>
      </w:r>
    </w:p>
    <w:p w:rsidR="001D37C9" w:rsidRPr="00BE7B11" w:rsidRDefault="001D37C9" w:rsidP="001D37C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  Статья 11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становить, что заключение и оплата муниципальных контрактов, иных договоров, исполнение которых осуществляется за счет средств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производятся в пределах утвержденных им лимитов бюджетных обязательств, если иное не установлено Бюджетным кодексом Российской Федерации  с учетом принятых и неисполненных обязательств. </w:t>
      </w:r>
    </w:p>
    <w:p w:rsidR="001D37C9" w:rsidRPr="00BE7B11" w:rsidRDefault="001D37C9" w:rsidP="001D37C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  Статья 12. </w:t>
      </w:r>
      <w:r w:rsidRPr="00BE7B11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Садовского сельского муниципального образования Республики Калмыкия на 2022 год согласно приложению 8 (предоставляется ко второму чтению).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          Статья 13</w:t>
      </w:r>
      <w:r w:rsidRPr="00BE7B11">
        <w:rPr>
          <w:rFonts w:ascii="Times New Roman" w:hAnsi="Times New Roman" w:cs="Times New Roman"/>
          <w:sz w:val="24"/>
          <w:szCs w:val="24"/>
        </w:rPr>
        <w:t xml:space="preserve">. 1) Утвердить верхний предел муниципального внутреннего долга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1 января 2023 года в сумме 0,0 тыс. рублей, в том числе верхний предел долга  по муниципальным гарантиям на 1 января 2023 года в сумме 0 тыс. рублей.  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2) Утвердить предельный объем муниципального долга 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2022 года в сумме 0,0 тыс. рублей.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3) Утвердить объем расходов на обслуживание муниципального долга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 2022 году в сумме 0,0 тыс. рублей.</w:t>
      </w:r>
    </w:p>
    <w:p w:rsidR="001D37C9" w:rsidRPr="00BE7B11" w:rsidRDefault="001D37C9" w:rsidP="001D37C9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          Статья 14.</w:t>
      </w:r>
      <w:r w:rsidRPr="00BE7B11">
        <w:rPr>
          <w:rFonts w:ascii="Times New Roman" w:hAnsi="Times New Roman" w:cs="Times New Roman"/>
          <w:sz w:val="24"/>
          <w:szCs w:val="24"/>
        </w:rPr>
        <w:t xml:space="preserve"> Утвердить перечень главных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2022 год приложение  9 (предоставляется ко второму чтению).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B11">
        <w:rPr>
          <w:rFonts w:ascii="Times New Roman" w:hAnsi="Times New Roman" w:cs="Times New Roman"/>
          <w:b/>
          <w:sz w:val="24"/>
          <w:szCs w:val="24"/>
        </w:rPr>
        <w:t xml:space="preserve">Статья 15. </w:t>
      </w:r>
      <w:r w:rsidRPr="00BE7B11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2022 год  согласно приложению 10 (предоставляется ко второму чтению).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7B11">
        <w:rPr>
          <w:rFonts w:ascii="Times New Roman" w:hAnsi="Times New Roman" w:cs="Times New Roman"/>
          <w:b/>
          <w:sz w:val="24"/>
          <w:szCs w:val="24"/>
        </w:rPr>
        <w:t xml:space="preserve">Статья 16. </w:t>
      </w:r>
      <w:r w:rsidRPr="00BE7B11">
        <w:rPr>
          <w:rFonts w:ascii="Times New Roman" w:hAnsi="Times New Roman" w:cs="Times New Roman"/>
          <w:sz w:val="24"/>
          <w:szCs w:val="24"/>
        </w:rPr>
        <w:t xml:space="preserve">Установить дополнительные основания  в 2022 году  для внесения изменений  в сводную  бюджетную  роспись 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без внесения изменений в настоящее  Решение, связанные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>: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1) особенностями исполнения  муниципального бюджета в пределах общего объема бюджетных ассигнований, предусмотренных соответствующему главному распорядителю </w:t>
      </w:r>
      <w:r w:rsidRPr="00BE7B11">
        <w:rPr>
          <w:rFonts w:ascii="Times New Roman" w:hAnsi="Times New Roman" w:cs="Times New Roman"/>
          <w:sz w:val="24"/>
          <w:szCs w:val="24"/>
        </w:rPr>
        <w:lastRenderedPageBreak/>
        <w:t xml:space="preserve">средств 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в том числе: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11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 № 597 «О мероприятиях по реализации государственной социальной политики», от 7 мая 2012 года N 599 "О мерах по реализации государственной политики в области образования и науки";</w:t>
      </w:r>
      <w:proofErr w:type="gramEnd"/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B11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, установленных для получения межбюджетных трансфертов, предоставляемых бюджету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 поступлений  от  Фонда содействия реформированию жилищно-коммунального хозяйства, в том числе путем введения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новых кодов классификации расходов республиканского бюджета и бюджета СМО;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нужд, сложившейся в 2022 году;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2022 года;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 налогов, сборов, пеней и штрафов;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2) перераспределением бюджетных ассигнований между главными распорядителями средств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разделами, подразделами, целевыми статьями и видами расходов классификации расходов бюджетов  в пределах общего объема бюджетных ассигнований бюджета, а именно;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>- на реализацию мероприятий в рамках соответствующих  муниципальных  программ Республики Калмыкия, на основании внесенных в нее изменений;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lastRenderedPageBreak/>
        <w:t xml:space="preserve">-на обеспечение расходов по обслуживанию муниципального долга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B11">
        <w:rPr>
          <w:rFonts w:ascii="Times New Roman" w:hAnsi="Times New Roman" w:cs="Times New Roman"/>
          <w:b/>
          <w:sz w:val="24"/>
          <w:szCs w:val="24"/>
        </w:rPr>
        <w:t>Статья 17</w:t>
      </w:r>
      <w:r w:rsidRPr="00BE7B11">
        <w:rPr>
          <w:rFonts w:ascii="Times New Roman" w:hAnsi="Times New Roman" w:cs="Times New Roman"/>
          <w:sz w:val="24"/>
          <w:szCs w:val="24"/>
        </w:rPr>
        <w:t>. 1)Установить, что в 2022 году Управлением Федерального казначейства по Республике  Калмыкия осуществляется казначейское сопровождение средств, предоставляемых юридическим лицам на основании договоро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соглашений)о предоставлении субсидий, а также средств, получаемых юридическими лицами по государственным контрактам, договорам об осуществлении отдельных закупок товаров, работ, услуг, а также контрактам, договорам, заключенным в рамках их исполнения (далее – муниципальные  контракты (контракты, договоры)), в 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и в порядке, установленным Администрацией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 При казначейском сопровождении средства, указанные в абзаце первом настоящей части (далее — целевые средства), перечисляются на счета, открытые Управлению Федерального казначейства по Республике Калмыкия в учреждениях Центрального банка Российской Федерации.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</w:rPr>
        <w:t xml:space="preserve">         </w:t>
      </w:r>
      <w:r w:rsidRPr="00BE7B11">
        <w:rPr>
          <w:rFonts w:ascii="Times New Roman" w:hAnsi="Times New Roman" w:cs="Times New Roman"/>
          <w:sz w:val="24"/>
          <w:szCs w:val="24"/>
        </w:rPr>
        <w:t xml:space="preserve">Операции по зачислению и списанию целевых средств на счетах, указанных в абзаце втором настоящей части, отражаются на лицевых счетах, открытых юридическим лицам, получающим целевые средства из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в Управлении Федерального казначейства по Республике Калмыкия в порядке, установленном Федеральным казначейством.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 Операции по списанию средств по расходам юридических лиц, отраженных на лицевых счетах, указанных в абзаце третьем настоящей части, осуществляются в 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 При казначейском сопровождении целевых средств Управление Федерального казначейства по Республике Калмыкия осуществляет санкционирование операций в порядке, установленном  Администрацией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 2)</w:t>
      </w:r>
      <w:r w:rsidRPr="00BE7B11">
        <w:rPr>
          <w:rFonts w:ascii="Times New Roman" w:hAnsi="Times New Roman" w:cs="Times New Roman"/>
          <w:sz w:val="24"/>
          <w:szCs w:val="24"/>
        </w:rPr>
        <w:tab/>
        <w:t>Положения части 1 настоящей статьи не распространяются на средства,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предоставляемые из бюджета </w:t>
      </w:r>
      <w:proofErr w:type="spellStart"/>
      <w:r w:rsidRPr="00BE7B11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Калмыкия: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-юридическим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-социально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№ 7-ФЗ «О некоммерческих организациях»;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-юридическим лицам в целях последующего предоставления грантов юридическим и физическим лицам.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BE7B11">
        <w:rPr>
          <w:rFonts w:ascii="Times New Roman" w:hAnsi="Times New Roman" w:cs="Times New Roman"/>
          <w:b/>
          <w:sz w:val="24"/>
          <w:szCs w:val="24"/>
        </w:rPr>
        <w:t>Статья  18.</w:t>
      </w:r>
      <w:r w:rsidRPr="00BE7B11">
        <w:rPr>
          <w:rFonts w:ascii="Times New Roman" w:hAnsi="Times New Roman" w:cs="Times New Roman"/>
          <w:sz w:val="24"/>
          <w:szCs w:val="24"/>
        </w:rPr>
        <w:t xml:space="preserve">  Настоящее решение подлежит официальному опубликованию и вступает в силу с 1 января 2022 года.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7C9" w:rsidRPr="00BE7B11" w:rsidRDefault="001D37C9" w:rsidP="001D37C9">
      <w:pPr>
        <w:rPr>
          <w:rFonts w:ascii="Times New Roman" w:hAnsi="Times New Roman" w:cs="Times New Roman"/>
          <w:b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D37C9" w:rsidRPr="00BE7B11" w:rsidRDefault="001D37C9" w:rsidP="001D37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7B11">
        <w:rPr>
          <w:rFonts w:ascii="Times New Roman" w:hAnsi="Times New Roman" w:cs="Times New Roman"/>
          <w:b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1D37C9" w:rsidRPr="00BE7B11" w:rsidRDefault="001D37C9" w:rsidP="001D37C9">
      <w:pPr>
        <w:rPr>
          <w:rFonts w:ascii="Times New Roman" w:hAnsi="Times New Roman" w:cs="Times New Roman"/>
          <w:b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D37C9" w:rsidRPr="00BE7B11" w:rsidRDefault="001D37C9" w:rsidP="001D37C9">
      <w:pPr>
        <w:rPr>
          <w:rFonts w:ascii="Times New Roman" w:hAnsi="Times New Roman" w:cs="Times New Roman"/>
          <w:b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BE7B11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BE7B11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     Е.Н.Литвиненко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1D37C9" w:rsidRDefault="001D37C9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BE7B11" w:rsidRPr="00BE7B11" w:rsidRDefault="00BE7B11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b/>
        </w:rPr>
      </w:pPr>
    </w:p>
    <w:p w:rsidR="001D37C9" w:rsidRPr="00BE7B11" w:rsidRDefault="001D37C9" w:rsidP="001D37C9">
      <w:pPr>
        <w:pStyle w:val="ConsNormal"/>
        <w:framePr w:hSpace="180" w:wrap="around" w:vAnchor="text" w:hAnchor="margin" w:y="184"/>
        <w:ind w:firstLine="0"/>
        <w:jc w:val="right"/>
        <w:rPr>
          <w:rFonts w:ascii="Times New Roman" w:hAnsi="Times New Roman"/>
          <w:sz w:val="18"/>
          <w:szCs w:val="24"/>
        </w:rPr>
      </w:pPr>
      <w:r w:rsidRPr="00BE7B1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BE7B11">
        <w:rPr>
          <w:rFonts w:ascii="Times New Roman" w:hAnsi="Times New Roman"/>
          <w:sz w:val="18"/>
          <w:szCs w:val="24"/>
        </w:rPr>
        <w:t>Приложение № 3</w:t>
      </w:r>
    </w:p>
    <w:p w:rsidR="001D37C9" w:rsidRPr="00BE7B11" w:rsidRDefault="001D37C9" w:rsidP="001D37C9">
      <w:pPr>
        <w:framePr w:hSpace="180" w:wrap="around" w:vAnchor="text" w:hAnchor="margin" w:y="184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к решению  Собрания депутатов </w:t>
      </w:r>
      <w:proofErr w:type="spellStart"/>
      <w:r w:rsidRPr="00BE7B11">
        <w:rPr>
          <w:rFonts w:ascii="Times New Roman" w:hAnsi="Times New Roman" w:cs="Times New Roman"/>
          <w:color w:val="000000"/>
          <w:sz w:val="18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сельского</w:t>
      </w:r>
    </w:p>
    <w:p w:rsidR="001D37C9" w:rsidRPr="00BE7B11" w:rsidRDefault="001D37C9" w:rsidP="001D37C9">
      <w:pPr>
        <w:framePr w:hSpace="180" w:wrap="around" w:vAnchor="text" w:hAnchor="margin" w:y="184"/>
        <w:autoSpaceDE w:val="0"/>
        <w:autoSpaceDN w:val="0"/>
        <w:adjustRightInd w:val="0"/>
        <w:ind w:left="708" w:firstLine="708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>муниципального образования РК</w:t>
      </w:r>
    </w:p>
    <w:p w:rsidR="001D37C9" w:rsidRPr="00BE7B11" w:rsidRDefault="001D37C9" w:rsidP="00BE7B11">
      <w:pPr>
        <w:framePr w:hSpace="180" w:wrap="around" w:vAnchor="text" w:hAnchor="margin" w:y="184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                "О бюджете </w:t>
      </w:r>
      <w:proofErr w:type="spellStart"/>
      <w:r w:rsidRPr="00BE7B11">
        <w:rPr>
          <w:rFonts w:ascii="Times New Roman" w:hAnsi="Times New Roman" w:cs="Times New Roman"/>
          <w:color w:val="000000"/>
          <w:sz w:val="18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СМО РК на 2022 год "                                                                                                            №       </w:t>
      </w:r>
      <w:r w:rsidR="00BE7B11"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2021 г</w:t>
      </w:r>
    </w:p>
    <w:p w:rsidR="001D37C9" w:rsidRPr="00BE7B11" w:rsidRDefault="001D37C9" w:rsidP="001D37C9">
      <w:pPr>
        <w:framePr w:hSpace="180" w:wrap="around" w:vAnchor="text" w:hAnchor="margin" w:y="184"/>
        <w:widowControl w:val="0"/>
        <w:ind w:right="-46"/>
        <w:rPr>
          <w:rFonts w:ascii="Times New Roman" w:hAnsi="Times New Roman" w:cs="Times New Roman"/>
          <w:snapToGrid w:val="0"/>
          <w:sz w:val="24"/>
          <w:szCs w:val="24"/>
        </w:rPr>
      </w:pPr>
    </w:p>
    <w:p w:rsidR="001D37C9" w:rsidRPr="00BE7B11" w:rsidRDefault="001D37C9" w:rsidP="001D37C9">
      <w:pPr>
        <w:framePr w:hSpace="180" w:wrap="around" w:vAnchor="text" w:hAnchor="margin" w:y="184"/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Нормативы распределения доходов между районным бюджетом и бюджетами сельских муниципальных образований, не установленные законодательством Российской Федерации и Республики Калмыкия  на 2022 год  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( в процентах)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439"/>
        <w:gridCol w:w="2161"/>
      </w:tblGrid>
      <w:tr w:rsidR="001D37C9" w:rsidRPr="00BE7B11" w:rsidTr="001D37C9">
        <w:trPr>
          <w:cantSplit/>
          <w:trHeight w:val="823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Бюджет поселения</w:t>
            </w:r>
          </w:p>
        </w:tc>
      </w:tr>
      <w:tr w:rsidR="001D37C9" w:rsidRPr="00BE7B11" w:rsidTr="001D37C9">
        <w:trPr>
          <w:cantSplit/>
          <w:tblHeader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pStyle w:val="1"/>
              <w:rPr>
                <w:sz w:val="24"/>
                <w:szCs w:val="24"/>
              </w:rPr>
            </w:pPr>
            <w:r w:rsidRPr="00BE7B11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pStyle w:val="1"/>
              <w:rPr>
                <w:b/>
                <w:sz w:val="24"/>
                <w:szCs w:val="24"/>
              </w:rPr>
            </w:pPr>
            <w:r w:rsidRPr="00BE7B11">
              <w:rPr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37C9" w:rsidRPr="00BE7B11" w:rsidTr="001D37C9">
        <w:trPr>
          <w:cantSplit/>
          <w:trHeight w:val="493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ЧАСТИ ШТРАФОВ, САНКЦИЙ, ВОЗМЕЩЕНИЯ УЩЕРБА</w:t>
            </w: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возмещения  ущерба при возникновении иных страховых, когда </w:t>
            </w:r>
            <w:proofErr w:type="spell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1D37C9" w:rsidRPr="00BE7B11" w:rsidTr="001D37C9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</w:tbl>
    <w:p w:rsidR="001D37C9" w:rsidRPr="00BE7B11" w:rsidRDefault="001D37C9" w:rsidP="001D37C9">
      <w:pPr>
        <w:rPr>
          <w:rFonts w:ascii="Times New Roman" w:hAnsi="Times New Roman" w:cs="Times New Roman"/>
          <w:sz w:val="24"/>
          <w:szCs w:val="24"/>
        </w:rPr>
      </w:pPr>
    </w:p>
    <w:p w:rsidR="001D37C9" w:rsidRPr="00BE7B11" w:rsidRDefault="001D37C9" w:rsidP="001D37C9">
      <w:pPr>
        <w:jc w:val="right"/>
        <w:rPr>
          <w:rFonts w:ascii="Times New Roman" w:hAnsi="Times New Roman" w:cs="Times New Roman"/>
          <w:sz w:val="18"/>
          <w:szCs w:val="24"/>
        </w:rPr>
      </w:pPr>
      <w:r w:rsidRPr="00BE7B11">
        <w:rPr>
          <w:rFonts w:ascii="Times New Roman" w:hAnsi="Times New Roman" w:cs="Times New Roman"/>
          <w:sz w:val="18"/>
          <w:szCs w:val="24"/>
        </w:rPr>
        <w:t>Приложение № 4</w:t>
      </w:r>
    </w:p>
    <w:p w:rsidR="001D37C9" w:rsidRPr="00BE7B11" w:rsidRDefault="001D37C9" w:rsidP="001D37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к решению  Собрания депутатов </w:t>
      </w:r>
      <w:proofErr w:type="spellStart"/>
      <w:r w:rsidRPr="00BE7B11">
        <w:rPr>
          <w:rFonts w:ascii="Times New Roman" w:hAnsi="Times New Roman" w:cs="Times New Roman"/>
          <w:color w:val="000000"/>
          <w:sz w:val="18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сельского</w:t>
      </w:r>
    </w:p>
    <w:p w:rsidR="001D37C9" w:rsidRPr="00BE7B11" w:rsidRDefault="001D37C9" w:rsidP="001D37C9">
      <w:pPr>
        <w:autoSpaceDE w:val="0"/>
        <w:autoSpaceDN w:val="0"/>
        <w:adjustRightInd w:val="0"/>
        <w:ind w:left="708" w:firstLine="708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>муниципального образования РК</w:t>
      </w:r>
    </w:p>
    <w:p w:rsidR="001D37C9" w:rsidRPr="00BE7B11" w:rsidRDefault="001D37C9" w:rsidP="00BE7B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"О бюджете </w:t>
      </w:r>
      <w:proofErr w:type="spellStart"/>
      <w:r w:rsidRPr="00BE7B11">
        <w:rPr>
          <w:rFonts w:ascii="Times New Roman" w:hAnsi="Times New Roman" w:cs="Times New Roman"/>
          <w:color w:val="000000"/>
          <w:sz w:val="18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СМО РК на 2022 год "                                                                                                            №                                2021 г.</w:t>
      </w:r>
    </w:p>
    <w:p w:rsidR="001D37C9" w:rsidRPr="00BE7B11" w:rsidRDefault="001D37C9" w:rsidP="001D3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B11">
        <w:rPr>
          <w:rFonts w:ascii="Times New Roman" w:hAnsi="Times New Roman" w:cs="Times New Roman"/>
          <w:b/>
          <w:bCs/>
          <w:sz w:val="24"/>
          <w:szCs w:val="24"/>
        </w:rPr>
        <w:t>Объем поступлений доходов</w:t>
      </w:r>
    </w:p>
    <w:p w:rsidR="001D37C9" w:rsidRPr="00BE7B11" w:rsidRDefault="001D37C9" w:rsidP="001D3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B11">
        <w:rPr>
          <w:rFonts w:ascii="Times New Roman" w:hAnsi="Times New Roman" w:cs="Times New Roman"/>
          <w:b/>
          <w:bCs/>
          <w:sz w:val="24"/>
          <w:szCs w:val="24"/>
        </w:rPr>
        <w:t xml:space="preserve">в бюджет </w:t>
      </w:r>
      <w:proofErr w:type="spellStart"/>
      <w:r w:rsidRPr="00BE7B11">
        <w:rPr>
          <w:rFonts w:ascii="Times New Roman" w:hAnsi="Times New Roman" w:cs="Times New Roman"/>
          <w:b/>
          <w:bCs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b/>
          <w:bCs/>
          <w:sz w:val="24"/>
          <w:szCs w:val="24"/>
        </w:rPr>
        <w:t xml:space="preserve"> СМО РК  на 2022 год 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( тыс</w:t>
      </w:r>
      <w:proofErr w:type="gramStart"/>
      <w:r w:rsidRPr="00BE7B1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E7B11">
        <w:rPr>
          <w:rFonts w:ascii="Times New Roman" w:hAnsi="Times New Roman" w:cs="Times New Roman"/>
          <w:bCs/>
          <w:sz w:val="24"/>
          <w:szCs w:val="24"/>
        </w:rPr>
        <w:t>уб</w:t>
      </w:r>
      <w:r w:rsidRPr="00BE7B11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5"/>
        <w:gridCol w:w="4180"/>
        <w:gridCol w:w="1975"/>
      </w:tblGrid>
      <w:tr w:rsidR="001D37C9" w:rsidRPr="00BE7B11" w:rsidTr="001D37C9">
        <w:trPr>
          <w:trHeight w:val="537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1D37C9" w:rsidRPr="00BE7B11" w:rsidTr="001D37C9">
        <w:trPr>
          <w:trHeight w:val="537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9" w:rsidRPr="00BE7B11" w:rsidTr="001D37C9">
        <w:trPr>
          <w:trHeight w:val="537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9" w:rsidRPr="00BE7B11" w:rsidTr="001D37C9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571,3</w:t>
            </w:r>
          </w:p>
        </w:tc>
      </w:tr>
      <w:tr w:rsidR="001D37C9" w:rsidRPr="00BE7B11" w:rsidTr="001D37C9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42,9</w:t>
            </w:r>
          </w:p>
        </w:tc>
      </w:tr>
      <w:tr w:rsidR="001D37C9" w:rsidRPr="00BE7B11" w:rsidTr="001D37C9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42,9</w:t>
            </w:r>
          </w:p>
        </w:tc>
      </w:tr>
      <w:tr w:rsidR="001D37C9" w:rsidRPr="00BE7B11" w:rsidTr="001D37C9">
        <w:trPr>
          <w:trHeight w:val="178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1D37C9" w:rsidRPr="00BE7B11" w:rsidTr="001D37C9">
        <w:trPr>
          <w:trHeight w:val="229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7C9" w:rsidRPr="00BE7B11" w:rsidTr="001D37C9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D37C9" w:rsidRPr="00BE7B11" w:rsidTr="001D37C9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1D37C9" w:rsidRPr="00BE7B11" w:rsidTr="001D37C9">
        <w:trPr>
          <w:trHeight w:val="4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182 1 05 03000 01 0000 110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</w:tr>
      <w:tr w:rsidR="001D37C9" w:rsidRPr="00BE7B11" w:rsidTr="001D37C9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D37C9" w:rsidRPr="00BE7B11" w:rsidTr="001D37C9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000 1 06  00000 00  0000  110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 ИМУЩЕСТВО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408,0</w:t>
            </w:r>
          </w:p>
        </w:tc>
      </w:tr>
      <w:tr w:rsidR="001D37C9" w:rsidRPr="00BE7B11" w:rsidTr="001D37C9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182 1 06  01000 00  0000  110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1D37C9" w:rsidRPr="00BE7B11" w:rsidTr="001D37C9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D37C9" w:rsidRPr="00BE7B11" w:rsidTr="001D37C9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182 106 06000 00 0000 110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393,0</w:t>
            </w:r>
          </w:p>
        </w:tc>
      </w:tr>
      <w:tr w:rsidR="001D37C9" w:rsidRPr="00BE7B11" w:rsidTr="001D37C9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D37C9" w:rsidRPr="00BE7B11" w:rsidTr="001D37C9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1D37C9" w:rsidRPr="00BE7B11" w:rsidTr="001D37C9">
        <w:trPr>
          <w:trHeight w:val="484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000 108 00000 00 0000 000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1D37C9" w:rsidRPr="00BE7B11" w:rsidTr="001D37C9">
        <w:trPr>
          <w:trHeight w:val="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874 108 04020 01 0000 110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D37C9" w:rsidRPr="00BE7B11" w:rsidTr="001D37C9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000 116 00000 00 0000 000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D37C9" w:rsidRPr="00BE7B11" w:rsidTr="001D37C9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081 116 90050 10 0000 140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37C9" w:rsidRPr="00BE7B11" w:rsidTr="001D37C9">
        <w:trPr>
          <w:trHeight w:val="70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000 2 00 00000 00 0000 000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569,0</w:t>
            </w:r>
          </w:p>
        </w:tc>
      </w:tr>
      <w:tr w:rsidR="001D37C9" w:rsidRPr="00BE7B11" w:rsidTr="001D37C9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000 2 02 00000 00 0000 000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569,0</w:t>
            </w:r>
          </w:p>
        </w:tc>
      </w:tr>
      <w:tr w:rsidR="001D37C9" w:rsidRPr="00BE7B11" w:rsidTr="001D37C9">
        <w:trPr>
          <w:trHeight w:val="7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430,0</w:t>
            </w:r>
          </w:p>
        </w:tc>
      </w:tr>
      <w:tr w:rsidR="001D37C9" w:rsidRPr="00BE7B11" w:rsidTr="001D37C9">
        <w:trPr>
          <w:trHeight w:val="7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874 2 02 15001 10 0000 151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бюджетной обеспеченности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sz w:val="24"/>
                <w:szCs w:val="24"/>
              </w:rPr>
              <w:t>430,0</w:t>
            </w:r>
          </w:p>
        </w:tc>
      </w:tr>
      <w:tr w:rsidR="001D37C9" w:rsidRPr="00BE7B11" w:rsidTr="001D37C9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1D37C9" w:rsidRPr="00BE7B11" w:rsidTr="001D37C9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874 2 02 35118 00 0000 151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</w:tr>
      <w:tr w:rsidR="001D37C9" w:rsidRPr="00BE7B11" w:rsidTr="001D37C9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000 202 40000 00 0000 151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7C9" w:rsidRPr="00BE7B11" w:rsidTr="001D37C9">
        <w:trPr>
          <w:trHeight w:val="12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sz w:val="24"/>
                <w:szCs w:val="24"/>
              </w:rPr>
              <w:t>874 202 40696014 10 0000 151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1D37C9" w:rsidRPr="00BE7B11" w:rsidTr="001D37C9">
        <w:trPr>
          <w:trHeight w:val="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1140,3</w:t>
            </w:r>
          </w:p>
        </w:tc>
      </w:tr>
    </w:tbl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7C9" w:rsidRPr="00BE7B11" w:rsidRDefault="001D37C9" w:rsidP="001D37C9">
      <w:pPr>
        <w:jc w:val="right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D37C9" w:rsidRPr="00BE7B11" w:rsidRDefault="001D37C9" w:rsidP="001D37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7C9" w:rsidRPr="00BE7B11" w:rsidRDefault="001D37C9" w:rsidP="001D37C9">
      <w:pPr>
        <w:tabs>
          <w:tab w:val="center" w:pos="4677"/>
          <w:tab w:val="left" w:pos="75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RANGE!A1:I135"/>
      <w:bookmarkEnd w:id="0"/>
    </w:p>
    <w:p w:rsidR="001D37C9" w:rsidRPr="00BE7B11" w:rsidRDefault="001D37C9" w:rsidP="001D37C9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br w:type="page"/>
      </w:r>
      <w:r w:rsidRPr="00BE7B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BE7B1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tbl>
      <w:tblPr>
        <w:tblpPr w:leftFromText="180" w:rightFromText="180" w:horzAnchor="margin" w:tblpY="-820"/>
        <w:tblW w:w="9739" w:type="dxa"/>
        <w:tblLook w:val="01E0"/>
      </w:tblPr>
      <w:tblGrid>
        <w:gridCol w:w="4869"/>
        <w:gridCol w:w="4870"/>
      </w:tblGrid>
      <w:tr w:rsidR="001D37C9" w:rsidRPr="00BE7B11" w:rsidTr="00BE7B11">
        <w:trPr>
          <w:trHeight w:val="1527"/>
        </w:trPr>
        <w:tc>
          <w:tcPr>
            <w:tcW w:w="4869" w:type="dxa"/>
          </w:tcPr>
          <w:p w:rsidR="001D37C9" w:rsidRPr="00BE7B11" w:rsidRDefault="001D37C9" w:rsidP="00BE7B11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</w:tcPr>
          <w:p w:rsidR="001D37C9" w:rsidRPr="00BE7B11" w:rsidRDefault="001D37C9" w:rsidP="00BE7B11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BE7B1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Приложение № 5</w:t>
            </w:r>
          </w:p>
          <w:p w:rsidR="001D37C9" w:rsidRPr="00BE7B11" w:rsidRDefault="001D37C9" w:rsidP="00BE7B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 решению  Собрания депутатов </w:t>
            </w:r>
            <w:proofErr w:type="spellStart"/>
            <w:r w:rsidRPr="00BE7B1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Коробкинского</w:t>
            </w:r>
            <w:proofErr w:type="spellEnd"/>
            <w:r w:rsidRPr="00BE7B1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сельского</w:t>
            </w:r>
          </w:p>
          <w:p w:rsidR="001D37C9" w:rsidRPr="00BE7B11" w:rsidRDefault="001D37C9" w:rsidP="00BE7B11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 образования РК</w:t>
            </w:r>
          </w:p>
          <w:p w:rsidR="001D37C9" w:rsidRPr="00BE7B11" w:rsidRDefault="001D37C9" w:rsidP="00BE7B1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"О бюджете </w:t>
            </w:r>
            <w:proofErr w:type="spellStart"/>
            <w:r w:rsidRPr="00BE7B1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Коробкинского</w:t>
            </w:r>
            <w:proofErr w:type="spellEnd"/>
            <w:r w:rsidRPr="00BE7B11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СМО РК на 2022 год "                                                                                                            №                                2021 г.</w:t>
            </w:r>
          </w:p>
          <w:p w:rsidR="001D37C9" w:rsidRPr="00BE7B11" w:rsidRDefault="001D37C9" w:rsidP="00BE7B11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37C9" w:rsidRPr="00BE7B11" w:rsidRDefault="001D37C9" w:rsidP="001D37C9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37C9" w:rsidRPr="00BE7B11" w:rsidRDefault="001D37C9" w:rsidP="001D37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ассигнований из бюджета </w:t>
      </w:r>
      <w:proofErr w:type="spellStart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муниципального образования Республики Калмыкия на 2021 год по разделам, подразделам, целевым статьям и видам </w:t>
      </w:r>
      <w:proofErr w:type="gramStart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</w:p>
    <w:p w:rsidR="001D37C9" w:rsidRPr="00BE7B11" w:rsidRDefault="001D37C9" w:rsidP="001D37C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99"/>
        <w:gridCol w:w="488"/>
        <w:gridCol w:w="692"/>
        <w:gridCol w:w="1167"/>
        <w:gridCol w:w="1007"/>
        <w:gridCol w:w="1507"/>
      </w:tblGrid>
      <w:tr w:rsidR="001D37C9" w:rsidRPr="00BE7B11" w:rsidTr="001D37C9">
        <w:trPr>
          <w:trHeight w:val="247"/>
        </w:trPr>
        <w:tc>
          <w:tcPr>
            <w:tcW w:w="9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тыс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1D37C9" w:rsidRPr="00BE7B11" w:rsidTr="001D37C9">
        <w:trPr>
          <w:trHeight w:val="43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D37C9" w:rsidRPr="00BE7B11" w:rsidTr="001D37C9">
        <w:trPr>
          <w:trHeight w:val="2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37C9" w:rsidRPr="00BE7B11" w:rsidTr="001D37C9">
        <w:trPr>
          <w:trHeight w:val="34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677,9</w:t>
            </w:r>
          </w:p>
        </w:tc>
      </w:tr>
      <w:tr w:rsidR="001D37C9" w:rsidRPr="00BE7B11" w:rsidTr="001D37C9">
        <w:trPr>
          <w:trHeight w:val="37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Style w:val="blk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435,8</w:t>
            </w:r>
          </w:p>
        </w:tc>
      </w:tr>
      <w:tr w:rsidR="001D37C9" w:rsidRPr="00BE7B11" w:rsidTr="001D37C9">
        <w:trPr>
          <w:trHeight w:val="3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1D37C9" w:rsidRPr="00BE7B11" w:rsidTr="001D37C9">
        <w:trPr>
          <w:trHeight w:val="50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 (муниципальных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1D37C9" w:rsidRPr="00BE7B11" w:rsidTr="001D37C9">
        <w:trPr>
          <w:trHeight w:val="50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277,9</w:t>
            </w: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277,9</w:t>
            </w: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 (муниципальных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(муниципальных</w:t>
            </w:r>
            <w:proofErr w:type="gram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1D37C9" w:rsidRPr="00BE7B11" w:rsidTr="001D37C9">
        <w:trPr>
          <w:trHeight w:val="26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7810451180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1D37C9" w:rsidRPr="00BE7B11" w:rsidTr="001D37C9">
        <w:trPr>
          <w:trHeight w:val="49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205,0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</w:t>
            </w:r>
            <w:proofErr w:type="spell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204,0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иных направления расходов на осуществление передаваемых полномочий из </w:t>
            </w: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СМО в бюджет РМО по организации, формированию, исполнению и </w:t>
            </w:r>
            <w:proofErr w:type="gram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1D37C9" w:rsidRPr="00BE7B11" w:rsidTr="001D37C9">
        <w:trPr>
          <w:trHeight w:val="118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D37C9" w:rsidRPr="00BE7B11" w:rsidTr="001D37C9">
        <w:trPr>
          <w:trHeight w:val="40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D37C9" w:rsidRPr="00BE7B11" w:rsidTr="001D37C9">
        <w:trPr>
          <w:trHeight w:val="390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D37C9" w:rsidRPr="00BE7B11" w:rsidTr="001D37C9">
        <w:trPr>
          <w:trHeight w:val="169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1D37C9" w:rsidRPr="00BE7B11" w:rsidTr="001D37C9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D37C9" w:rsidRPr="00BE7B11" w:rsidTr="001D37C9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D37C9" w:rsidRPr="00BE7B11" w:rsidTr="001D37C9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1D37C9" w:rsidRPr="00BE7B11" w:rsidTr="001D37C9">
        <w:trPr>
          <w:trHeight w:val="324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1D37C9" w:rsidRPr="00BE7B11" w:rsidTr="001D37C9">
        <w:trPr>
          <w:trHeight w:val="146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1D37C9" w:rsidRPr="00BE7B11" w:rsidTr="001D37C9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1D37C9" w:rsidRPr="00BE7B11" w:rsidTr="001D37C9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1D37C9" w:rsidRPr="00BE7B11" w:rsidTr="001D37C9">
        <w:trPr>
          <w:trHeight w:val="305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D37C9" w:rsidRPr="00BE7B11" w:rsidTr="001D37C9">
        <w:trPr>
          <w:trHeight w:val="449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1140,3</w:t>
            </w:r>
          </w:p>
        </w:tc>
      </w:tr>
    </w:tbl>
    <w:p w:rsidR="001D37C9" w:rsidRPr="00BE7B11" w:rsidRDefault="001D37C9" w:rsidP="001D37C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37C9" w:rsidRPr="00BE7B11" w:rsidRDefault="001D37C9" w:rsidP="001D37C9">
      <w:pPr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BE7B11">
        <w:rPr>
          <w:rFonts w:ascii="Times New Roman" w:hAnsi="Times New Roman" w:cs="Times New Roman"/>
          <w:color w:val="000000"/>
          <w:sz w:val="18"/>
          <w:szCs w:val="24"/>
        </w:rPr>
        <w:lastRenderedPageBreak/>
        <w:t>Приложение № 6</w:t>
      </w:r>
    </w:p>
    <w:p w:rsidR="001D37C9" w:rsidRPr="00BE7B11" w:rsidRDefault="001D37C9" w:rsidP="001D37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к решению  Собрания депутатов </w:t>
      </w:r>
      <w:proofErr w:type="spellStart"/>
      <w:r w:rsidRPr="00BE7B11">
        <w:rPr>
          <w:rFonts w:ascii="Times New Roman" w:hAnsi="Times New Roman" w:cs="Times New Roman"/>
          <w:color w:val="000000"/>
          <w:sz w:val="18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сельского</w:t>
      </w:r>
    </w:p>
    <w:p w:rsidR="001D37C9" w:rsidRPr="00BE7B11" w:rsidRDefault="001D37C9" w:rsidP="001D37C9">
      <w:pPr>
        <w:autoSpaceDE w:val="0"/>
        <w:autoSpaceDN w:val="0"/>
        <w:adjustRightInd w:val="0"/>
        <w:ind w:left="708" w:firstLine="708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>муниципального образования РК</w:t>
      </w:r>
    </w:p>
    <w:p w:rsidR="001D37C9" w:rsidRPr="00BE7B11" w:rsidRDefault="001D37C9" w:rsidP="001D37C9">
      <w:pPr>
        <w:jc w:val="right"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                "О бюджете </w:t>
      </w:r>
      <w:proofErr w:type="spellStart"/>
      <w:r w:rsidRPr="00BE7B11">
        <w:rPr>
          <w:rFonts w:ascii="Times New Roman" w:hAnsi="Times New Roman" w:cs="Times New Roman"/>
          <w:color w:val="000000"/>
          <w:sz w:val="18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color w:val="000000"/>
          <w:sz w:val="18"/>
          <w:szCs w:val="24"/>
        </w:rPr>
        <w:t xml:space="preserve"> СМО РК на 2022 год "                                                                                                            №                              2021г</w:t>
      </w:r>
    </w:p>
    <w:p w:rsidR="001D37C9" w:rsidRPr="00BE7B11" w:rsidRDefault="001D37C9" w:rsidP="001D37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муниципального образования Республики Калмыкия на 2022 год</w:t>
      </w:r>
      <w:r w:rsidRPr="00BE7B11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D37C9" w:rsidRPr="00BE7B11" w:rsidRDefault="001D37C9" w:rsidP="001D37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B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tbl>
      <w:tblPr>
        <w:tblW w:w="1045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"/>
        <w:gridCol w:w="4614"/>
        <w:gridCol w:w="488"/>
        <w:gridCol w:w="488"/>
        <w:gridCol w:w="692"/>
        <w:gridCol w:w="1168"/>
        <w:gridCol w:w="1008"/>
        <w:gridCol w:w="1508"/>
      </w:tblGrid>
      <w:tr w:rsidR="001D37C9" w:rsidRPr="00BE7B11" w:rsidTr="00F76BDC">
        <w:trPr>
          <w:trHeight w:val="24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6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тыс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1D37C9" w:rsidRPr="00BE7B11" w:rsidTr="00F76BDC">
        <w:trPr>
          <w:trHeight w:val="43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       раздел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D37C9" w:rsidRPr="00BE7B11" w:rsidTr="00F76BDC">
        <w:trPr>
          <w:trHeight w:val="2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37C9" w:rsidRPr="00BE7B11" w:rsidTr="00F76BDC">
        <w:trPr>
          <w:trHeight w:val="34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677,9</w:t>
            </w:r>
          </w:p>
        </w:tc>
      </w:tr>
      <w:tr w:rsidR="001D37C9" w:rsidRPr="00BE7B11" w:rsidTr="00F76BDC">
        <w:trPr>
          <w:trHeight w:val="37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Style w:val="blk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1D37C9" w:rsidRPr="00BE7B11" w:rsidTr="00F76BDC">
        <w:trPr>
          <w:trHeight w:val="342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1D37C9" w:rsidRPr="00BE7B11" w:rsidTr="00F76BDC">
        <w:trPr>
          <w:trHeight w:val="509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 (муниципальных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1D37C9" w:rsidRPr="00BE7B11" w:rsidTr="00F76BDC">
        <w:trPr>
          <w:trHeight w:val="509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277,9</w:t>
            </w: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277,9</w:t>
            </w: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 (муниципальных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</w:t>
            </w: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7810451180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 (муниципальных</w:t>
            </w:r>
            <w:proofErr w:type="gram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7810451180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1D37C9" w:rsidRPr="00BE7B11" w:rsidTr="00F76BDC">
        <w:trPr>
          <w:trHeight w:val="26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7810451180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1D37C9" w:rsidRPr="00BE7B11" w:rsidTr="00F76BDC">
        <w:trPr>
          <w:trHeight w:val="49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7890190550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7890190550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183,1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</w:t>
            </w:r>
            <w:proofErr w:type="spell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7890990630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7890990630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204,0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78909М6010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78909М6010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1D37C9" w:rsidRPr="00BE7B11" w:rsidTr="00F76BDC">
        <w:trPr>
          <w:trHeight w:val="11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D37C9" w:rsidRPr="00BE7B11" w:rsidTr="00F76BDC">
        <w:trPr>
          <w:trHeight w:val="4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7850215810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D37C9" w:rsidRPr="00BE7B11" w:rsidTr="00F76BDC">
        <w:trPr>
          <w:trHeight w:val="39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7850215810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1D37C9" w:rsidRPr="00BE7B11" w:rsidTr="00F76BDC">
        <w:trPr>
          <w:trHeight w:val="169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D37C9" w:rsidRPr="00BE7B11" w:rsidTr="00F76BDC">
        <w:trPr>
          <w:trHeight w:val="32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7860115820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D37C9" w:rsidRPr="00BE7B11" w:rsidTr="00F76BDC">
        <w:trPr>
          <w:trHeight w:val="32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7860115820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1D37C9" w:rsidRPr="00BE7B11" w:rsidTr="00F76BDC">
        <w:trPr>
          <w:trHeight w:val="32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7860415850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1D37C9" w:rsidRPr="00BE7B11" w:rsidTr="00F76BDC">
        <w:trPr>
          <w:trHeight w:val="32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7860415850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1D37C9" w:rsidRPr="00BE7B11" w:rsidTr="00F76BDC">
        <w:trPr>
          <w:trHeight w:val="14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1D37C9" w:rsidRPr="00BE7B11" w:rsidTr="00F76BDC">
        <w:trPr>
          <w:trHeight w:val="30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1D37C9" w:rsidRPr="00BE7B11" w:rsidTr="00F76BDC">
        <w:trPr>
          <w:trHeight w:val="30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7830105200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108,0</w:t>
            </w:r>
          </w:p>
        </w:tc>
      </w:tr>
      <w:tr w:rsidR="001D37C9" w:rsidRPr="00BE7B11" w:rsidTr="00F76BDC">
        <w:trPr>
          <w:trHeight w:val="30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7830105200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D37C9" w:rsidRPr="00BE7B11" w:rsidTr="00F76BDC">
        <w:trPr>
          <w:trHeight w:val="449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D37C9" w:rsidRPr="00BE7B11" w:rsidRDefault="001D37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BE7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1140,3</w:t>
            </w:r>
          </w:p>
        </w:tc>
      </w:tr>
    </w:tbl>
    <w:p w:rsidR="001D37C9" w:rsidRPr="00BE7B11" w:rsidRDefault="001D37C9" w:rsidP="001D37C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37C9" w:rsidRPr="00BE7B11" w:rsidRDefault="001D37C9" w:rsidP="001D37C9">
      <w:pPr>
        <w:rPr>
          <w:rFonts w:ascii="Times New Roman" w:hAnsi="Times New Roman" w:cs="Times New Roman"/>
          <w:sz w:val="24"/>
          <w:szCs w:val="24"/>
        </w:rPr>
      </w:pPr>
    </w:p>
    <w:p w:rsidR="001D37C9" w:rsidRDefault="001D37C9" w:rsidP="001D37C9">
      <w:pPr>
        <w:rPr>
          <w:rFonts w:ascii="Times New Roman" w:hAnsi="Times New Roman" w:cs="Times New Roman"/>
          <w:sz w:val="24"/>
          <w:szCs w:val="24"/>
        </w:rPr>
      </w:pPr>
    </w:p>
    <w:p w:rsidR="00BE7B11" w:rsidRPr="00BE7B11" w:rsidRDefault="00BE7B11" w:rsidP="001D37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92" w:type="dxa"/>
        <w:tblLook w:val="00A0"/>
      </w:tblPr>
      <w:tblGrid>
        <w:gridCol w:w="1820"/>
        <w:gridCol w:w="2624"/>
        <w:gridCol w:w="236"/>
        <w:gridCol w:w="3953"/>
        <w:gridCol w:w="1807"/>
      </w:tblGrid>
      <w:tr w:rsidR="001D37C9" w:rsidRPr="00BE7B11" w:rsidTr="001D37C9">
        <w:trPr>
          <w:trHeight w:val="255"/>
        </w:trPr>
        <w:tc>
          <w:tcPr>
            <w:tcW w:w="1820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noWrap/>
            <w:hideMark/>
          </w:tcPr>
          <w:p w:rsidR="00F76BDC" w:rsidRPr="00BE7B11" w:rsidRDefault="001D37C9" w:rsidP="00F76BDC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BE7B11">
              <w:rPr>
                <w:rFonts w:ascii="Times New Roman" w:hAnsi="Times New Roman" w:cs="Times New Roman"/>
                <w:sz w:val="18"/>
                <w:szCs w:val="24"/>
              </w:rPr>
              <w:t>Приложение №10 к решению</w:t>
            </w:r>
          </w:p>
          <w:p w:rsidR="001D37C9" w:rsidRPr="00BE7B11" w:rsidRDefault="001D37C9" w:rsidP="00F76BDC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BE7B11">
              <w:rPr>
                <w:rFonts w:ascii="Times New Roman" w:hAnsi="Times New Roman" w:cs="Times New Roman"/>
                <w:sz w:val="18"/>
                <w:szCs w:val="24"/>
              </w:rPr>
              <w:t xml:space="preserve"> сессии Собрания депутатов </w:t>
            </w:r>
          </w:p>
        </w:tc>
      </w:tr>
      <w:tr w:rsidR="001D37C9" w:rsidRPr="00BE7B11" w:rsidTr="001D37C9">
        <w:trPr>
          <w:trHeight w:val="255"/>
        </w:trPr>
        <w:tc>
          <w:tcPr>
            <w:tcW w:w="1820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noWrap/>
            <w:hideMark/>
          </w:tcPr>
          <w:p w:rsidR="001D37C9" w:rsidRPr="00BE7B11" w:rsidRDefault="001D37C9" w:rsidP="00F76BDC">
            <w:pPr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BE7B11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</w:t>
            </w:r>
            <w:proofErr w:type="spellStart"/>
            <w:r w:rsidRPr="00BE7B11">
              <w:rPr>
                <w:rFonts w:ascii="Times New Roman" w:hAnsi="Times New Roman" w:cs="Times New Roman"/>
                <w:sz w:val="18"/>
                <w:szCs w:val="24"/>
              </w:rPr>
              <w:t>Коробкинского</w:t>
            </w:r>
            <w:proofErr w:type="spellEnd"/>
            <w:r w:rsidRPr="00BE7B11">
              <w:rPr>
                <w:rFonts w:ascii="Times New Roman" w:hAnsi="Times New Roman" w:cs="Times New Roman"/>
                <w:sz w:val="18"/>
                <w:szCs w:val="24"/>
              </w:rPr>
              <w:t xml:space="preserve"> СМО РК «Проект бюджета  </w:t>
            </w:r>
            <w:proofErr w:type="spellStart"/>
            <w:r w:rsidRPr="00BE7B11">
              <w:rPr>
                <w:rFonts w:ascii="Times New Roman" w:hAnsi="Times New Roman" w:cs="Times New Roman"/>
                <w:sz w:val="18"/>
                <w:szCs w:val="24"/>
              </w:rPr>
              <w:t>Коробкинского</w:t>
            </w:r>
            <w:proofErr w:type="spellEnd"/>
            <w:r w:rsidRPr="00BE7B11">
              <w:rPr>
                <w:rFonts w:ascii="Times New Roman" w:hAnsi="Times New Roman" w:cs="Times New Roman"/>
                <w:sz w:val="18"/>
                <w:szCs w:val="24"/>
              </w:rPr>
              <w:t xml:space="preserve"> СМО на 2022г</w:t>
            </w:r>
          </w:p>
        </w:tc>
      </w:tr>
      <w:tr w:rsidR="001D37C9" w:rsidRPr="00BE7B11" w:rsidTr="001D37C9">
        <w:trPr>
          <w:trHeight w:val="255"/>
        </w:trPr>
        <w:tc>
          <w:tcPr>
            <w:tcW w:w="1820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noWrap/>
          </w:tcPr>
          <w:p w:rsidR="001D37C9" w:rsidRPr="00BE7B11" w:rsidRDefault="001D3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9" w:rsidRPr="00BE7B11" w:rsidTr="001D37C9">
        <w:trPr>
          <w:trHeight w:val="255"/>
        </w:trPr>
        <w:tc>
          <w:tcPr>
            <w:tcW w:w="1820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noWrap/>
          </w:tcPr>
          <w:p w:rsidR="001D37C9" w:rsidRPr="00BE7B11" w:rsidRDefault="001D3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9" w:rsidRPr="00BE7B11" w:rsidTr="001D37C9">
        <w:trPr>
          <w:trHeight w:val="255"/>
        </w:trPr>
        <w:tc>
          <w:tcPr>
            <w:tcW w:w="1820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noWrap/>
          </w:tcPr>
          <w:p w:rsidR="001D37C9" w:rsidRPr="00BE7B11" w:rsidRDefault="001D37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7C9" w:rsidRPr="00BE7B11" w:rsidTr="001D37C9">
        <w:trPr>
          <w:trHeight w:val="255"/>
        </w:trPr>
        <w:tc>
          <w:tcPr>
            <w:tcW w:w="1820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noWrap/>
            <w:vAlign w:val="bottom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7C9" w:rsidRPr="00BE7B11" w:rsidTr="001D37C9">
        <w:trPr>
          <w:trHeight w:val="315"/>
        </w:trPr>
        <w:tc>
          <w:tcPr>
            <w:tcW w:w="10440" w:type="dxa"/>
            <w:gridSpan w:val="5"/>
            <w:noWrap/>
            <w:vAlign w:val="bottom"/>
            <w:hideMark/>
          </w:tcPr>
          <w:p w:rsidR="001D37C9" w:rsidRPr="00BE7B11" w:rsidRDefault="001D37C9" w:rsidP="00BE7B1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Коробкинского</w:t>
            </w:r>
            <w:proofErr w:type="spellEnd"/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1D37C9" w:rsidRPr="00BE7B11" w:rsidTr="001D37C9">
        <w:trPr>
          <w:trHeight w:val="330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</w:p>
        </w:tc>
      </w:tr>
      <w:tr w:rsidR="001D37C9" w:rsidRPr="00BE7B11" w:rsidTr="001D37C9">
        <w:trPr>
          <w:trHeight w:val="4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 w:rsidP="00F76BDC">
            <w:pPr>
              <w:ind w:firstLineChars="200" w:firstLine="4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Код  БК РФ</w:t>
            </w:r>
            <w:proofErr w:type="gram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Сумма тыс</w:t>
            </w:r>
            <w:proofErr w:type="gram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D37C9" w:rsidRPr="00BE7B11" w:rsidTr="001D37C9">
        <w:trPr>
          <w:trHeight w:val="70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01 03  00 </w:t>
            </w:r>
            <w:proofErr w:type="spellStart"/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 </w:t>
            </w:r>
            <w:proofErr w:type="spellStart"/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7C9" w:rsidRPr="00BE7B11" w:rsidTr="001D37C9">
        <w:trPr>
          <w:trHeight w:val="77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867 01 03 00 10 0000 710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7C9" w:rsidRPr="00BE7B11" w:rsidTr="001D37C9">
        <w:trPr>
          <w:trHeight w:val="7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867 01 03 00 10 0000 810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7C9" w:rsidRPr="00BE7B11" w:rsidTr="001D37C9">
        <w:trPr>
          <w:trHeight w:val="51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D37C9" w:rsidRPr="00BE7B11" w:rsidTr="001D37C9">
        <w:trPr>
          <w:trHeight w:val="2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 w:rsidP="00F76BDC">
            <w:pPr>
              <w:ind w:firstLineChars="500" w:firstLine="1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37C9" w:rsidRPr="00BE7B11" w:rsidTr="001D37C9">
        <w:trPr>
          <w:trHeight w:val="61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 xml:space="preserve">       -1140,3</w:t>
            </w:r>
          </w:p>
        </w:tc>
      </w:tr>
      <w:tr w:rsidR="001D37C9" w:rsidRPr="00BE7B11" w:rsidTr="001D37C9">
        <w:trPr>
          <w:trHeight w:val="93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1140,3</w:t>
            </w:r>
          </w:p>
        </w:tc>
      </w:tr>
      <w:tr w:rsidR="001D37C9" w:rsidRPr="00BE7B11" w:rsidTr="001D37C9">
        <w:trPr>
          <w:trHeight w:val="7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7C9" w:rsidRPr="00BE7B11" w:rsidRDefault="001D37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E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7C9" w:rsidRPr="00BE7B11" w:rsidRDefault="001D37C9" w:rsidP="001D37C9">
      <w:pPr>
        <w:rPr>
          <w:rFonts w:ascii="Times New Roman" w:hAnsi="Times New Roman" w:cs="Times New Roman"/>
          <w:vanish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>6.</w:t>
      </w:r>
    </w:p>
    <w:p w:rsidR="001D37C9" w:rsidRPr="00BE7B11" w:rsidRDefault="001D37C9" w:rsidP="001D37C9">
      <w:pPr>
        <w:numPr>
          <w:ilvl w:val="0"/>
          <w:numId w:val="2"/>
        </w:numPr>
        <w:spacing w:after="0" w:line="240" w:lineRule="auto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</w:t>
      </w:r>
      <w:proofErr w:type="gramStart"/>
      <w:r w:rsidRPr="00BE7B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7B11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 в установленном законом порядке.    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1D37C9" w:rsidRPr="00BE7B11" w:rsidTr="001D37C9">
        <w:trPr>
          <w:trHeight w:val="341"/>
        </w:trPr>
        <w:tc>
          <w:tcPr>
            <w:tcW w:w="144" w:type="dxa"/>
          </w:tcPr>
          <w:p w:rsidR="001D37C9" w:rsidRPr="00BE7B11" w:rsidRDefault="001D37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D37C9" w:rsidRPr="00BE7B11" w:rsidRDefault="001D37C9" w:rsidP="001D37C9">
      <w:pPr>
        <w:tabs>
          <w:tab w:val="center" w:pos="4677"/>
          <w:tab w:val="left" w:pos="75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1D37C9" w:rsidRPr="00BE7B11" w:rsidTr="001D37C9">
        <w:trPr>
          <w:trHeight w:val="341"/>
        </w:trPr>
        <w:tc>
          <w:tcPr>
            <w:tcW w:w="144" w:type="dxa"/>
          </w:tcPr>
          <w:p w:rsidR="001D37C9" w:rsidRPr="00BE7B11" w:rsidRDefault="001D37C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D37C9" w:rsidRPr="00BE7B11" w:rsidRDefault="001D37C9" w:rsidP="001D37C9">
      <w:pPr>
        <w:rPr>
          <w:rFonts w:ascii="Times New Roman" w:hAnsi="Times New Roman" w:cs="Times New Roman"/>
          <w:sz w:val="24"/>
          <w:szCs w:val="24"/>
        </w:rPr>
      </w:pPr>
    </w:p>
    <w:p w:rsidR="001D37C9" w:rsidRPr="00BE7B11" w:rsidRDefault="001D37C9" w:rsidP="001D37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Собрания депутатов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муниципального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Образования республики Калмыкия                                          </w:t>
      </w:r>
      <w:proofErr w:type="spellStart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З.А.Тарабановская</w:t>
      </w:r>
      <w:proofErr w:type="spellEnd"/>
    </w:p>
    <w:p w:rsidR="001D37C9" w:rsidRPr="00BE7B11" w:rsidRDefault="001D37C9" w:rsidP="001D37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7C9" w:rsidRPr="00BE7B11" w:rsidRDefault="001D37C9" w:rsidP="001D37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Коробкинского</w:t>
      </w:r>
      <w:proofErr w:type="spellEnd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</w:p>
    <w:p w:rsidR="001D37C9" w:rsidRPr="00BE7B11" w:rsidRDefault="001D37C9" w:rsidP="001D37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1D37C9" w:rsidRPr="00BE7B11" w:rsidRDefault="001D37C9" w:rsidP="001D37C9">
      <w:pPr>
        <w:jc w:val="both"/>
        <w:rPr>
          <w:rFonts w:ascii="Times New Roman" w:hAnsi="Times New Roman" w:cs="Times New Roman"/>
          <w:sz w:val="24"/>
          <w:szCs w:val="24"/>
        </w:rPr>
      </w:pPr>
      <w:r w:rsidRPr="00BE7B11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BE7B11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BE7B11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</w:t>
      </w:r>
      <w:r w:rsidRPr="00BE7B11">
        <w:rPr>
          <w:rFonts w:ascii="Times New Roman" w:hAnsi="Times New Roman" w:cs="Times New Roman"/>
          <w:b/>
          <w:sz w:val="24"/>
          <w:szCs w:val="24"/>
        </w:rPr>
        <w:t>Е.Н.Литвиненко</w:t>
      </w:r>
    </w:p>
    <w:p w:rsidR="001D37C9" w:rsidRPr="00BE7B11" w:rsidRDefault="001D37C9" w:rsidP="001D37C9">
      <w:pPr>
        <w:pStyle w:val="23"/>
        <w:ind w:left="7020"/>
        <w:jc w:val="left"/>
        <w:rPr>
          <w:sz w:val="24"/>
          <w:szCs w:val="24"/>
        </w:rPr>
      </w:pPr>
    </w:p>
    <w:p w:rsidR="001D37C9" w:rsidRPr="00BE7B11" w:rsidRDefault="001D37C9" w:rsidP="001D37C9">
      <w:pPr>
        <w:rPr>
          <w:rFonts w:ascii="Times New Roman" w:hAnsi="Times New Roman" w:cs="Times New Roman"/>
          <w:sz w:val="24"/>
          <w:szCs w:val="24"/>
        </w:rPr>
      </w:pPr>
    </w:p>
    <w:p w:rsidR="006923C9" w:rsidRPr="00BE7B11" w:rsidRDefault="006923C9">
      <w:pPr>
        <w:rPr>
          <w:rFonts w:ascii="Times New Roman" w:hAnsi="Times New Roman" w:cs="Times New Roman"/>
        </w:rPr>
      </w:pPr>
    </w:p>
    <w:sectPr w:rsidR="006923C9" w:rsidRPr="00BE7B11" w:rsidSect="00A6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37C9"/>
    <w:rsid w:val="001D37C9"/>
    <w:rsid w:val="006923C9"/>
    <w:rsid w:val="008E4B6C"/>
    <w:rsid w:val="00A65633"/>
    <w:rsid w:val="00BA52F0"/>
    <w:rsid w:val="00BE7B11"/>
    <w:rsid w:val="00C90E90"/>
    <w:rsid w:val="00CF507E"/>
    <w:rsid w:val="00F7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3"/>
  </w:style>
  <w:style w:type="paragraph" w:styleId="1">
    <w:name w:val="heading 1"/>
    <w:basedOn w:val="a"/>
    <w:next w:val="a"/>
    <w:link w:val="10"/>
    <w:uiPriority w:val="99"/>
    <w:qFormat/>
    <w:rsid w:val="001D37C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37C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D37C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4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D37C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D37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D37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37C9"/>
    <w:pPr>
      <w:keepNext/>
      <w:tabs>
        <w:tab w:val="left" w:pos="1701"/>
        <w:tab w:val="left" w:pos="1843"/>
        <w:tab w:val="left" w:pos="6521"/>
        <w:tab w:val="left" w:pos="9214"/>
      </w:tabs>
      <w:spacing w:before="100" w:after="0" w:line="288" w:lineRule="auto"/>
      <w:ind w:right="-7"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7C9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1D37C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1D37C9"/>
    <w:rPr>
      <w:rFonts w:ascii="Arial" w:eastAsia="Times New Roman" w:hAnsi="Arial" w:cs="Times New Roman"/>
      <w:i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1D37C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1D37C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1D37C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1D37C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1D37C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37C9"/>
    <w:rPr>
      <w:rFonts w:ascii="Times New Roman" w:hAnsi="Times New Roman" w:cs="Times New Roman" w:hint="default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D37C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37C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D3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D37C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D3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D37C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1D37C9"/>
    <w:pPr>
      <w:autoSpaceDE w:val="0"/>
      <w:autoSpaceDN w:val="0"/>
      <w:spacing w:after="0" w:line="240" w:lineRule="auto"/>
      <w:ind w:firstLine="5954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1D37C9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1D37C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1D37C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1D37C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D37C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D37C9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37C9"/>
    <w:rPr>
      <w:rFonts w:ascii="Times New Roman" w:eastAsia="Times New Roman" w:hAnsi="Times New Roman" w:cs="Times New Roman"/>
      <w:sz w:val="52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D37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C9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D37C9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37C9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D37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37C9"/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37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37C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D3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3">
    <w:name w:val="Знак"/>
    <w:basedOn w:val="a"/>
    <w:uiPriority w:val="99"/>
    <w:rsid w:val="001D37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D37C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BodyText21">
    <w:name w:val="Body Text 21"/>
    <w:basedOn w:val="a"/>
    <w:uiPriority w:val="99"/>
    <w:rsid w:val="001D37C9"/>
    <w:pPr>
      <w:spacing w:after="0" w:line="259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4">
    <w:name w:val="Îáû÷íûé"/>
    <w:uiPriority w:val="99"/>
    <w:rsid w:val="001D3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1D37C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1D37C9"/>
    <w:pPr>
      <w:keepNext/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4">
    <w:name w:val="xl34"/>
    <w:basedOn w:val="a"/>
    <w:uiPriority w:val="99"/>
    <w:rsid w:val="001D37C9"/>
    <w:pPr>
      <w:autoSpaceDE w:val="0"/>
      <w:autoSpaceDN w:val="0"/>
      <w:spacing w:before="100" w:after="100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1D37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D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1D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1D3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1D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page number"/>
    <w:basedOn w:val="a0"/>
    <w:uiPriority w:val="99"/>
    <w:semiHidden/>
    <w:unhideWhenUsed/>
    <w:rsid w:val="001D37C9"/>
    <w:rPr>
      <w:rFonts w:ascii="Times New Roman" w:hAnsi="Times New Roman" w:cs="Times New Roman" w:hint="default"/>
    </w:rPr>
  </w:style>
  <w:style w:type="character" w:customStyle="1" w:styleId="af8">
    <w:name w:val="Цветовое выделение"/>
    <w:uiPriority w:val="99"/>
    <w:rsid w:val="001D37C9"/>
    <w:rPr>
      <w:b/>
      <w:bCs w:val="0"/>
      <w:color w:val="000080"/>
    </w:rPr>
  </w:style>
  <w:style w:type="character" w:customStyle="1" w:styleId="af9">
    <w:name w:val="Гипертекстовая ссылка"/>
    <w:basedOn w:val="af8"/>
    <w:uiPriority w:val="99"/>
    <w:rsid w:val="001D37C9"/>
    <w:rPr>
      <w:rFonts w:ascii="Times New Roman" w:hAnsi="Times New Roman" w:cs="Times New Roman" w:hint="default"/>
      <w:bCs/>
      <w:color w:val="008000"/>
    </w:rPr>
  </w:style>
  <w:style w:type="character" w:customStyle="1" w:styleId="blk">
    <w:name w:val="blk"/>
    <w:basedOn w:val="a0"/>
    <w:uiPriority w:val="99"/>
    <w:rsid w:val="001D37C9"/>
    <w:rPr>
      <w:rFonts w:ascii="Times New Roman" w:hAnsi="Times New Roman" w:cs="Times New Roman" w:hint="default"/>
    </w:rPr>
  </w:style>
  <w:style w:type="table" w:styleId="afa">
    <w:name w:val="Table Grid"/>
    <w:basedOn w:val="a1"/>
    <w:uiPriority w:val="99"/>
    <w:rsid w:val="001D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2021-11-16T08:53:00Z</cp:lastPrinted>
  <dcterms:created xsi:type="dcterms:W3CDTF">2021-11-16T06:11:00Z</dcterms:created>
  <dcterms:modified xsi:type="dcterms:W3CDTF">2021-11-16T09:05:00Z</dcterms:modified>
</cp:coreProperties>
</file>